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A4D" w14:textId="0DD73984" w:rsidR="0027644A" w:rsidRPr="001A21A4" w:rsidRDefault="001A21A4" w:rsidP="001A21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1A4">
        <w:rPr>
          <w:rFonts w:ascii="Times New Roman" w:hAnsi="Times New Roman" w:cs="Times New Roman"/>
          <w:b/>
          <w:bCs/>
          <w:sz w:val="24"/>
          <w:szCs w:val="24"/>
        </w:rPr>
        <w:t>Viešųjų pirkimų vertinimo rodikliai, apskaičiuoti Lietuvos Respublikos sveikatos apsaugos ministro 2020 m. liepos 14 d. įsakymo Nr. V-1651 „Dėl pirkimų vykdytojų sveikatos priežiūros sistemoje viešųjų pirkimų vertinimo rodiklių paviešinimo“ nustatyta tvarka</w:t>
      </w:r>
    </w:p>
    <w:tbl>
      <w:tblPr>
        <w:tblStyle w:val="Lentelstinklelis"/>
        <w:tblW w:w="14287" w:type="dxa"/>
        <w:tblLook w:val="04A0" w:firstRow="1" w:lastRow="0" w:firstColumn="1" w:lastColumn="0" w:noHBand="0" w:noVBand="1"/>
      </w:tblPr>
      <w:tblGrid>
        <w:gridCol w:w="582"/>
        <w:gridCol w:w="3333"/>
        <w:gridCol w:w="1151"/>
        <w:gridCol w:w="1151"/>
        <w:gridCol w:w="1179"/>
        <w:gridCol w:w="1334"/>
        <w:gridCol w:w="1471"/>
        <w:gridCol w:w="1221"/>
        <w:gridCol w:w="1151"/>
        <w:gridCol w:w="871"/>
        <w:gridCol w:w="843"/>
      </w:tblGrid>
      <w:tr w:rsidR="00C03A18" w:rsidRPr="00D875BB" w14:paraId="154A5748" w14:textId="77777777" w:rsidTr="007E264B">
        <w:trPr>
          <w:trHeight w:val="333"/>
        </w:trPr>
        <w:tc>
          <w:tcPr>
            <w:tcW w:w="582" w:type="dxa"/>
            <w:vMerge w:val="restart"/>
          </w:tcPr>
          <w:p w14:paraId="224C3E86" w14:textId="2B7F62F0" w:rsidR="00C03A18" w:rsidRPr="00D875BB" w:rsidRDefault="00C03A18" w:rsidP="00D875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5BB">
              <w:rPr>
                <w:rFonts w:ascii="Times New Roman" w:hAnsi="Times New Roman" w:cs="Times New Roman"/>
                <w:b/>
                <w:bCs/>
              </w:rPr>
              <w:t>Eil. Nr.</w:t>
            </w:r>
          </w:p>
        </w:tc>
        <w:tc>
          <w:tcPr>
            <w:tcW w:w="3333" w:type="dxa"/>
            <w:vMerge w:val="restart"/>
            <w:vAlign w:val="center"/>
          </w:tcPr>
          <w:p w14:paraId="620758A5" w14:textId="76D946AB" w:rsidR="00C03A18" w:rsidRPr="00D875BB" w:rsidRDefault="00C03A18" w:rsidP="00E24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5BB">
              <w:rPr>
                <w:rFonts w:ascii="Times New Roman" w:hAnsi="Times New Roman" w:cs="Times New Roman"/>
                <w:b/>
                <w:bCs/>
              </w:rPr>
              <w:t>Rodiklis</w:t>
            </w:r>
          </w:p>
        </w:tc>
        <w:tc>
          <w:tcPr>
            <w:tcW w:w="1151" w:type="dxa"/>
            <w:vMerge w:val="restart"/>
            <w:vAlign w:val="center"/>
          </w:tcPr>
          <w:p w14:paraId="4EE09419" w14:textId="23198F15" w:rsidR="00C03A18" w:rsidRPr="00D875BB" w:rsidRDefault="00C03A18" w:rsidP="00E24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5BB">
              <w:rPr>
                <w:rFonts w:ascii="Times New Roman" w:hAnsi="Times New Roman" w:cs="Times New Roman"/>
                <w:b/>
                <w:bCs/>
              </w:rPr>
              <w:t>2018 m.</w:t>
            </w:r>
          </w:p>
        </w:tc>
        <w:tc>
          <w:tcPr>
            <w:tcW w:w="1151" w:type="dxa"/>
            <w:vMerge w:val="restart"/>
            <w:vAlign w:val="center"/>
          </w:tcPr>
          <w:p w14:paraId="189E5AFA" w14:textId="0DEA2896" w:rsidR="00C03A18" w:rsidRPr="00D875BB" w:rsidRDefault="00C03A18" w:rsidP="00E24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5BB">
              <w:rPr>
                <w:rFonts w:ascii="Times New Roman" w:hAnsi="Times New Roman" w:cs="Times New Roman"/>
                <w:b/>
                <w:bCs/>
              </w:rPr>
              <w:t>2019 m.</w:t>
            </w:r>
          </w:p>
        </w:tc>
        <w:tc>
          <w:tcPr>
            <w:tcW w:w="1179" w:type="dxa"/>
            <w:vMerge w:val="restart"/>
            <w:vAlign w:val="center"/>
          </w:tcPr>
          <w:p w14:paraId="0E14DEC6" w14:textId="357AED60" w:rsidR="00C03A18" w:rsidRPr="00D875BB" w:rsidRDefault="00C03A18" w:rsidP="00E24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5BB">
              <w:rPr>
                <w:rFonts w:ascii="Times New Roman" w:hAnsi="Times New Roman" w:cs="Times New Roman"/>
                <w:b/>
                <w:bCs/>
              </w:rPr>
              <w:t>2020 m.</w:t>
            </w:r>
          </w:p>
        </w:tc>
        <w:tc>
          <w:tcPr>
            <w:tcW w:w="1334" w:type="dxa"/>
            <w:vMerge w:val="restart"/>
            <w:vAlign w:val="center"/>
          </w:tcPr>
          <w:p w14:paraId="7C6054AB" w14:textId="4E389BCE" w:rsidR="00C03A18" w:rsidRPr="00D875BB" w:rsidRDefault="00C03A18" w:rsidP="00724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 m.</w:t>
            </w:r>
          </w:p>
        </w:tc>
        <w:tc>
          <w:tcPr>
            <w:tcW w:w="1471" w:type="dxa"/>
            <w:vMerge w:val="restart"/>
            <w:vAlign w:val="center"/>
          </w:tcPr>
          <w:p w14:paraId="6A2CEE52" w14:textId="1CA53946" w:rsidR="00C03A18" w:rsidRPr="00D875BB" w:rsidRDefault="00C03A18" w:rsidP="00C03A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 m.</w:t>
            </w:r>
          </w:p>
        </w:tc>
        <w:tc>
          <w:tcPr>
            <w:tcW w:w="4082" w:type="dxa"/>
            <w:gridSpan w:val="4"/>
          </w:tcPr>
          <w:p w14:paraId="2E3A7FEC" w14:textId="1436A6E0" w:rsidR="00C03A18" w:rsidRPr="00D875BB" w:rsidRDefault="00C03A18" w:rsidP="00D875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5BB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875BB">
              <w:rPr>
                <w:rFonts w:ascii="Times New Roman" w:hAnsi="Times New Roman" w:cs="Times New Roman"/>
                <w:b/>
                <w:bCs/>
              </w:rPr>
              <w:t xml:space="preserve"> m.</w:t>
            </w:r>
          </w:p>
        </w:tc>
      </w:tr>
      <w:tr w:rsidR="00C03A18" w:rsidRPr="00D875BB" w14:paraId="4B938DBB" w14:textId="77777777" w:rsidTr="007E264B">
        <w:trPr>
          <w:trHeight w:val="492"/>
        </w:trPr>
        <w:tc>
          <w:tcPr>
            <w:tcW w:w="582" w:type="dxa"/>
            <w:vMerge/>
          </w:tcPr>
          <w:p w14:paraId="600310C3" w14:textId="77777777" w:rsidR="00C03A18" w:rsidRPr="00D875BB" w:rsidRDefault="00C03A18" w:rsidP="00D875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3" w:type="dxa"/>
            <w:vMerge/>
          </w:tcPr>
          <w:p w14:paraId="70A6FE1A" w14:textId="77777777" w:rsidR="00C03A18" w:rsidRPr="00D875BB" w:rsidRDefault="00C03A18" w:rsidP="00D875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1" w:type="dxa"/>
            <w:vMerge/>
          </w:tcPr>
          <w:p w14:paraId="516F0F8C" w14:textId="77777777" w:rsidR="00C03A18" w:rsidRPr="00D875BB" w:rsidRDefault="00C03A18" w:rsidP="00D875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1" w:type="dxa"/>
            <w:vMerge/>
          </w:tcPr>
          <w:p w14:paraId="2CB4617A" w14:textId="77777777" w:rsidR="00C03A18" w:rsidRPr="00D875BB" w:rsidRDefault="00C03A18" w:rsidP="00D875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  <w:vMerge/>
          </w:tcPr>
          <w:p w14:paraId="1F0C4337" w14:textId="77777777" w:rsidR="00C03A18" w:rsidRPr="00D875BB" w:rsidRDefault="00C03A18" w:rsidP="00D875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4" w:type="dxa"/>
            <w:vMerge/>
          </w:tcPr>
          <w:p w14:paraId="2273B956" w14:textId="77777777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1" w:type="dxa"/>
            <w:vMerge/>
          </w:tcPr>
          <w:p w14:paraId="4CFEFE6C" w14:textId="77777777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347B49CE" w14:textId="58BFB13B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5BB">
              <w:rPr>
                <w:rFonts w:ascii="Times New Roman" w:hAnsi="Times New Roman" w:cs="Times New Roman"/>
                <w:b/>
                <w:bCs/>
              </w:rPr>
              <w:t>I ketv.</w:t>
            </w:r>
          </w:p>
        </w:tc>
        <w:tc>
          <w:tcPr>
            <w:tcW w:w="1151" w:type="dxa"/>
            <w:vAlign w:val="center"/>
          </w:tcPr>
          <w:p w14:paraId="78CB3FD8" w14:textId="22B55C24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5BB">
              <w:rPr>
                <w:rFonts w:ascii="Times New Roman" w:hAnsi="Times New Roman" w:cs="Times New Roman"/>
                <w:b/>
                <w:bCs/>
              </w:rPr>
              <w:t>II ketv.</w:t>
            </w:r>
          </w:p>
        </w:tc>
        <w:tc>
          <w:tcPr>
            <w:tcW w:w="871" w:type="dxa"/>
            <w:vAlign w:val="center"/>
          </w:tcPr>
          <w:p w14:paraId="285D43C5" w14:textId="4B73AD60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5BB">
              <w:rPr>
                <w:rFonts w:ascii="Times New Roman" w:hAnsi="Times New Roman" w:cs="Times New Roman"/>
                <w:b/>
                <w:bCs/>
              </w:rPr>
              <w:t>III ketv.</w:t>
            </w:r>
          </w:p>
        </w:tc>
        <w:tc>
          <w:tcPr>
            <w:tcW w:w="839" w:type="dxa"/>
            <w:vAlign w:val="center"/>
          </w:tcPr>
          <w:p w14:paraId="1CFDB19D" w14:textId="3888DE6B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5BB">
              <w:rPr>
                <w:rFonts w:ascii="Times New Roman" w:hAnsi="Times New Roman" w:cs="Times New Roman"/>
                <w:b/>
                <w:bCs/>
              </w:rPr>
              <w:t>IV ketv.</w:t>
            </w:r>
          </w:p>
        </w:tc>
      </w:tr>
      <w:tr w:rsidR="00C03A18" w:rsidRPr="00D875BB" w14:paraId="513D9343" w14:textId="77777777" w:rsidTr="00BB6190">
        <w:tc>
          <w:tcPr>
            <w:tcW w:w="582" w:type="dxa"/>
          </w:tcPr>
          <w:p w14:paraId="76B11386" w14:textId="7E64D755" w:rsidR="00C03A18" w:rsidRPr="00D875BB" w:rsidRDefault="00C03A18" w:rsidP="00B676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5B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333" w:type="dxa"/>
            <w:vAlign w:val="center"/>
          </w:tcPr>
          <w:p w14:paraId="37757817" w14:textId="77777777" w:rsidR="00C03A18" w:rsidRPr="00D875BB" w:rsidRDefault="00C03A18" w:rsidP="005659B2">
            <w:pPr>
              <w:rPr>
                <w:rFonts w:ascii="Times New Roman" w:hAnsi="Times New Roman" w:cs="Times New Roman"/>
                <w:b/>
                <w:bCs/>
              </w:rPr>
            </w:pPr>
            <w:r w:rsidRPr="00D875BB">
              <w:rPr>
                <w:rFonts w:ascii="Times New Roman" w:hAnsi="Times New Roman" w:cs="Times New Roman"/>
                <w:b/>
                <w:bCs/>
              </w:rPr>
              <w:t>Bendra viešiesiems pirkimams išleidžiama</w:t>
            </w:r>
          </w:p>
          <w:p w14:paraId="0246FEA9" w14:textId="771813F0" w:rsidR="00C03A18" w:rsidRPr="00D875BB" w:rsidRDefault="00C03A18" w:rsidP="005659B2">
            <w:pPr>
              <w:rPr>
                <w:rFonts w:ascii="Times New Roman" w:hAnsi="Times New Roman" w:cs="Times New Roman"/>
                <w:b/>
                <w:bCs/>
              </w:rPr>
            </w:pPr>
            <w:r w:rsidRPr="00D875BB">
              <w:rPr>
                <w:rFonts w:ascii="Times New Roman" w:hAnsi="Times New Roman" w:cs="Times New Roman"/>
                <w:b/>
                <w:bCs/>
              </w:rPr>
              <w:t>suma, Eur (su PVM)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(BVP)</w:t>
            </w:r>
          </w:p>
        </w:tc>
        <w:tc>
          <w:tcPr>
            <w:tcW w:w="1151" w:type="dxa"/>
            <w:vAlign w:val="center"/>
          </w:tcPr>
          <w:p w14:paraId="78A439FC" w14:textId="55314D92" w:rsidR="00C03A18" w:rsidRPr="00EA5022" w:rsidRDefault="00C03A18" w:rsidP="00565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022">
              <w:rPr>
                <w:rFonts w:ascii="Times New Roman" w:hAnsi="Times New Roman" w:cs="Times New Roman"/>
                <w:b/>
                <w:bCs/>
              </w:rPr>
              <w:t>967982,27</w:t>
            </w:r>
          </w:p>
        </w:tc>
        <w:tc>
          <w:tcPr>
            <w:tcW w:w="1151" w:type="dxa"/>
            <w:vAlign w:val="center"/>
          </w:tcPr>
          <w:p w14:paraId="4F517947" w14:textId="2CE8680B" w:rsidR="00C03A18" w:rsidRPr="00ED138B" w:rsidRDefault="00C03A18" w:rsidP="00565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868310,51</w:t>
            </w:r>
          </w:p>
        </w:tc>
        <w:tc>
          <w:tcPr>
            <w:tcW w:w="1179" w:type="dxa"/>
            <w:vAlign w:val="center"/>
          </w:tcPr>
          <w:p w14:paraId="03A66599" w14:textId="19B38501" w:rsidR="00C03A18" w:rsidRPr="00ED138B" w:rsidRDefault="00C03A18" w:rsidP="00565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918840,78</w:t>
            </w:r>
          </w:p>
        </w:tc>
        <w:tc>
          <w:tcPr>
            <w:tcW w:w="1334" w:type="dxa"/>
            <w:vAlign w:val="center"/>
          </w:tcPr>
          <w:p w14:paraId="46A15B8E" w14:textId="29D08855" w:rsidR="00C03A18" w:rsidRDefault="00C03A18" w:rsidP="009046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1825405,97</w:t>
            </w:r>
          </w:p>
        </w:tc>
        <w:tc>
          <w:tcPr>
            <w:tcW w:w="1471" w:type="dxa"/>
            <w:vAlign w:val="center"/>
          </w:tcPr>
          <w:p w14:paraId="7C8AB39D" w14:textId="076182F5" w:rsidR="00C03A18" w:rsidRDefault="007C777E" w:rsidP="00BB6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921674,22</w:t>
            </w:r>
          </w:p>
        </w:tc>
        <w:tc>
          <w:tcPr>
            <w:tcW w:w="1221" w:type="dxa"/>
            <w:vAlign w:val="center"/>
          </w:tcPr>
          <w:p w14:paraId="21945907" w14:textId="47616A2A" w:rsidR="00C03A18" w:rsidRPr="00ED138B" w:rsidRDefault="00C03A18" w:rsidP="00565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1" w:type="dxa"/>
            <w:vAlign w:val="center"/>
          </w:tcPr>
          <w:p w14:paraId="53282F18" w14:textId="41D299C1" w:rsidR="00C03A18" w:rsidRPr="00737B26" w:rsidRDefault="00C03A18" w:rsidP="00565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1" w:type="dxa"/>
            <w:vAlign w:val="center"/>
          </w:tcPr>
          <w:p w14:paraId="47A3857C" w14:textId="77777777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Align w:val="center"/>
          </w:tcPr>
          <w:p w14:paraId="6744B0C0" w14:textId="77777777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A18" w:rsidRPr="00D875BB" w14:paraId="51AB8E12" w14:textId="77777777" w:rsidTr="001434B9">
        <w:trPr>
          <w:trHeight w:val="394"/>
        </w:trPr>
        <w:tc>
          <w:tcPr>
            <w:tcW w:w="582" w:type="dxa"/>
          </w:tcPr>
          <w:p w14:paraId="42473F31" w14:textId="0392AA92" w:rsidR="00C03A18" w:rsidRPr="00D875BB" w:rsidRDefault="00C03A18" w:rsidP="00B676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33" w:type="dxa"/>
            <w:vAlign w:val="center"/>
          </w:tcPr>
          <w:p w14:paraId="42500A13" w14:textId="3789A68B" w:rsidR="00C03A18" w:rsidRPr="00D875BB" w:rsidRDefault="00C03A18" w:rsidP="005659B2">
            <w:pPr>
              <w:rPr>
                <w:rFonts w:ascii="Times New Roman" w:hAnsi="Times New Roman" w:cs="Times New Roman"/>
              </w:rPr>
            </w:pPr>
            <w:r w:rsidRPr="00D875BB">
              <w:rPr>
                <w:rFonts w:ascii="Times New Roman" w:hAnsi="Times New Roman" w:cs="Times New Roman"/>
              </w:rPr>
              <w:t>Bendras viešųjų pirkimų skaičius</w:t>
            </w:r>
            <w:r>
              <w:rPr>
                <w:rFonts w:ascii="Times New Roman" w:hAnsi="Times New Roman" w:cs="Times New Roman"/>
              </w:rPr>
              <w:t xml:space="preserve"> (BVPS)</w:t>
            </w:r>
          </w:p>
        </w:tc>
        <w:tc>
          <w:tcPr>
            <w:tcW w:w="1151" w:type="dxa"/>
            <w:vAlign w:val="center"/>
          </w:tcPr>
          <w:p w14:paraId="139F5B7D" w14:textId="095710CC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51" w:type="dxa"/>
            <w:vAlign w:val="center"/>
          </w:tcPr>
          <w:p w14:paraId="6385830E" w14:textId="334E7035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79" w:type="dxa"/>
            <w:vAlign w:val="center"/>
          </w:tcPr>
          <w:p w14:paraId="14019637" w14:textId="32ADF3A6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34" w:type="dxa"/>
            <w:vAlign w:val="center"/>
          </w:tcPr>
          <w:p w14:paraId="001AC4DA" w14:textId="71B1B294" w:rsidR="00C03A18" w:rsidRDefault="00C03A18" w:rsidP="00143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71" w:type="dxa"/>
            <w:vAlign w:val="center"/>
          </w:tcPr>
          <w:p w14:paraId="1DD49E88" w14:textId="75FCDF45" w:rsidR="00C03A18" w:rsidRDefault="007C777E" w:rsidP="00143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21" w:type="dxa"/>
            <w:vAlign w:val="center"/>
          </w:tcPr>
          <w:p w14:paraId="1BEC8590" w14:textId="534D1241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14:paraId="5BCCA706" w14:textId="7F329A0E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14:paraId="5530767B" w14:textId="77777777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Align w:val="center"/>
          </w:tcPr>
          <w:p w14:paraId="3F3E3CB4" w14:textId="77777777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A18" w:rsidRPr="00D875BB" w14:paraId="76EE7B76" w14:textId="77777777" w:rsidTr="007E264B">
        <w:tc>
          <w:tcPr>
            <w:tcW w:w="582" w:type="dxa"/>
            <w:vAlign w:val="center"/>
          </w:tcPr>
          <w:p w14:paraId="3D7629B9" w14:textId="1952EFA2" w:rsidR="00C03A18" w:rsidRPr="00D9414C" w:rsidRDefault="00C03A18" w:rsidP="004735B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9414C">
              <w:rPr>
                <w:rFonts w:ascii="Times New Roman" w:hAnsi="Times New Roman" w:cs="Times New Roman"/>
                <w:i/>
                <w:iCs/>
              </w:rPr>
              <w:t>2.1</w:t>
            </w:r>
          </w:p>
        </w:tc>
        <w:tc>
          <w:tcPr>
            <w:tcW w:w="3333" w:type="dxa"/>
            <w:vAlign w:val="center"/>
          </w:tcPr>
          <w:p w14:paraId="18BCD7E2" w14:textId="77777777" w:rsidR="00C03A18" w:rsidRPr="00D9414C" w:rsidRDefault="00C03A18" w:rsidP="005659B2">
            <w:pPr>
              <w:rPr>
                <w:rFonts w:ascii="Times New Roman" w:hAnsi="Times New Roman" w:cs="Times New Roman"/>
                <w:i/>
                <w:iCs/>
              </w:rPr>
            </w:pPr>
            <w:r w:rsidRPr="00D9414C">
              <w:rPr>
                <w:rFonts w:ascii="Times New Roman" w:hAnsi="Times New Roman" w:cs="Times New Roman"/>
                <w:i/>
                <w:iCs/>
              </w:rPr>
              <w:t>Tarptautinių ir supaprastintų, išskyrus mažos</w:t>
            </w:r>
          </w:p>
          <w:p w14:paraId="792B683C" w14:textId="1FB2C335" w:rsidR="00C03A18" w:rsidRPr="00D9414C" w:rsidRDefault="00C03A18" w:rsidP="005659B2">
            <w:pPr>
              <w:rPr>
                <w:rFonts w:ascii="Times New Roman" w:hAnsi="Times New Roman" w:cs="Times New Roman"/>
                <w:i/>
                <w:iCs/>
              </w:rPr>
            </w:pPr>
            <w:r w:rsidRPr="00D9414C">
              <w:rPr>
                <w:rFonts w:ascii="Times New Roman" w:hAnsi="Times New Roman" w:cs="Times New Roman"/>
                <w:i/>
                <w:iCs/>
              </w:rPr>
              <w:t>vertės, pirkimų skaičius</w:t>
            </w:r>
          </w:p>
        </w:tc>
        <w:tc>
          <w:tcPr>
            <w:tcW w:w="1151" w:type="dxa"/>
            <w:vAlign w:val="center"/>
          </w:tcPr>
          <w:p w14:paraId="114AB152" w14:textId="565EDDFC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1" w:type="dxa"/>
            <w:vAlign w:val="center"/>
          </w:tcPr>
          <w:p w14:paraId="79816370" w14:textId="5D8BE158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9" w:type="dxa"/>
            <w:vAlign w:val="center"/>
          </w:tcPr>
          <w:p w14:paraId="73D0B8EB" w14:textId="45637AF1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4" w:type="dxa"/>
            <w:vAlign w:val="center"/>
          </w:tcPr>
          <w:p w14:paraId="4BD77071" w14:textId="02AC97EF" w:rsidR="00C03A18" w:rsidRDefault="00C03A18" w:rsidP="001E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1" w:type="dxa"/>
            <w:vAlign w:val="center"/>
          </w:tcPr>
          <w:p w14:paraId="296FD75B" w14:textId="35757316" w:rsidR="00C03A18" w:rsidRDefault="007E264B" w:rsidP="007E2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21" w:type="dxa"/>
            <w:vAlign w:val="center"/>
          </w:tcPr>
          <w:p w14:paraId="29530BAE" w14:textId="0C7283CF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14:paraId="71F3D2DF" w14:textId="4EC23B87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14:paraId="31EDABD9" w14:textId="77777777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Align w:val="center"/>
          </w:tcPr>
          <w:p w14:paraId="05E680F9" w14:textId="77777777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A18" w:rsidRPr="00D875BB" w14:paraId="4DB423E0" w14:textId="77777777" w:rsidTr="007E264B">
        <w:trPr>
          <w:trHeight w:val="464"/>
        </w:trPr>
        <w:tc>
          <w:tcPr>
            <w:tcW w:w="582" w:type="dxa"/>
            <w:vAlign w:val="center"/>
          </w:tcPr>
          <w:p w14:paraId="3603681C" w14:textId="30E6E857" w:rsidR="00C03A18" w:rsidRPr="00D9414C" w:rsidRDefault="00C03A18" w:rsidP="004735B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9414C">
              <w:rPr>
                <w:rFonts w:ascii="Times New Roman" w:hAnsi="Times New Roman" w:cs="Times New Roman"/>
                <w:i/>
                <w:iCs/>
              </w:rPr>
              <w:t>2.2</w:t>
            </w:r>
          </w:p>
        </w:tc>
        <w:tc>
          <w:tcPr>
            <w:tcW w:w="3333" w:type="dxa"/>
            <w:vAlign w:val="center"/>
          </w:tcPr>
          <w:p w14:paraId="3BBDD8F5" w14:textId="6406598C" w:rsidR="00C03A18" w:rsidRPr="00D9414C" w:rsidRDefault="00C03A18" w:rsidP="004735B9">
            <w:pPr>
              <w:rPr>
                <w:rFonts w:ascii="Times New Roman" w:hAnsi="Times New Roman" w:cs="Times New Roman"/>
                <w:i/>
                <w:iCs/>
              </w:rPr>
            </w:pPr>
            <w:r w:rsidRPr="00D9414C">
              <w:rPr>
                <w:rFonts w:ascii="Times New Roman" w:hAnsi="Times New Roman" w:cs="Times New Roman"/>
                <w:i/>
                <w:iCs/>
              </w:rPr>
              <w:t>Mažos vertės pirkimų skaičius</w:t>
            </w:r>
          </w:p>
        </w:tc>
        <w:tc>
          <w:tcPr>
            <w:tcW w:w="1151" w:type="dxa"/>
            <w:vAlign w:val="center"/>
          </w:tcPr>
          <w:p w14:paraId="7D390039" w14:textId="5D950CC2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1" w:type="dxa"/>
            <w:vAlign w:val="center"/>
          </w:tcPr>
          <w:p w14:paraId="0ECA8704" w14:textId="5A50D604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9" w:type="dxa"/>
            <w:vAlign w:val="center"/>
          </w:tcPr>
          <w:p w14:paraId="0AAA651F" w14:textId="1D63E89D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4" w:type="dxa"/>
            <w:vAlign w:val="center"/>
          </w:tcPr>
          <w:p w14:paraId="087F4BE9" w14:textId="5BE0CF12" w:rsidR="00C03A18" w:rsidRDefault="00C03A18" w:rsidP="001E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1" w:type="dxa"/>
          </w:tcPr>
          <w:p w14:paraId="64570005" w14:textId="18497501" w:rsidR="00C03A18" w:rsidRDefault="007C777E" w:rsidP="0056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1" w:type="dxa"/>
            <w:vAlign w:val="center"/>
          </w:tcPr>
          <w:p w14:paraId="45F6005F" w14:textId="0873896F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14:paraId="09791980" w14:textId="203766E8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14:paraId="05D406F0" w14:textId="77777777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Align w:val="center"/>
          </w:tcPr>
          <w:p w14:paraId="321AEAF2" w14:textId="77777777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A18" w:rsidRPr="00D875BB" w14:paraId="647E1AF2" w14:textId="77777777" w:rsidTr="001434B9">
        <w:tc>
          <w:tcPr>
            <w:tcW w:w="582" w:type="dxa"/>
          </w:tcPr>
          <w:p w14:paraId="0AAB7B27" w14:textId="77777777" w:rsidR="00C03A18" w:rsidRPr="00D9414C" w:rsidRDefault="00C03A18" w:rsidP="00D875B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9414C">
              <w:rPr>
                <w:rFonts w:ascii="Times New Roman" w:hAnsi="Times New Roman" w:cs="Times New Roman"/>
                <w:i/>
                <w:iCs/>
              </w:rPr>
              <w:t>2.3</w:t>
            </w:r>
          </w:p>
          <w:p w14:paraId="12D119AD" w14:textId="7E5E81EE" w:rsidR="00C03A18" w:rsidRPr="00D9414C" w:rsidRDefault="00C03A18" w:rsidP="00B6767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333" w:type="dxa"/>
            <w:vAlign w:val="center"/>
          </w:tcPr>
          <w:p w14:paraId="7AD2B864" w14:textId="79A14EED" w:rsidR="00C03A18" w:rsidRPr="00D9414C" w:rsidRDefault="00C03A18" w:rsidP="005659B2">
            <w:pPr>
              <w:rPr>
                <w:rFonts w:ascii="Times New Roman" w:hAnsi="Times New Roman" w:cs="Times New Roman"/>
                <w:i/>
                <w:iCs/>
              </w:rPr>
            </w:pPr>
            <w:r w:rsidRPr="00D9414C">
              <w:rPr>
                <w:rFonts w:ascii="Times New Roman" w:hAnsi="Times New Roman" w:cs="Times New Roman"/>
                <w:i/>
                <w:iCs/>
              </w:rPr>
              <w:t>Centralizuotų viešųjų pirkimų skaičius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(CVPS)</w:t>
            </w:r>
          </w:p>
        </w:tc>
        <w:tc>
          <w:tcPr>
            <w:tcW w:w="1151" w:type="dxa"/>
            <w:vAlign w:val="center"/>
          </w:tcPr>
          <w:p w14:paraId="00F8DD87" w14:textId="7EDD9C3E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51" w:type="dxa"/>
            <w:vAlign w:val="center"/>
          </w:tcPr>
          <w:p w14:paraId="665727A2" w14:textId="6A073745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79" w:type="dxa"/>
            <w:vAlign w:val="center"/>
          </w:tcPr>
          <w:p w14:paraId="38985668" w14:textId="29E7E571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34" w:type="dxa"/>
            <w:vAlign w:val="center"/>
          </w:tcPr>
          <w:p w14:paraId="2A9E035B" w14:textId="1337994E" w:rsidR="00C03A18" w:rsidRDefault="00C03A18" w:rsidP="001E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71" w:type="dxa"/>
            <w:vAlign w:val="center"/>
          </w:tcPr>
          <w:p w14:paraId="7C4E77D2" w14:textId="2E85BA5A" w:rsidR="00C03A18" w:rsidRDefault="001434B9" w:rsidP="00143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21" w:type="dxa"/>
            <w:vAlign w:val="center"/>
          </w:tcPr>
          <w:p w14:paraId="4737AFF1" w14:textId="738110D5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14:paraId="3E659A6D" w14:textId="536C0ED0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14:paraId="5AE21453" w14:textId="77777777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Align w:val="center"/>
          </w:tcPr>
          <w:p w14:paraId="2E328DFE" w14:textId="77777777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A18" w:rsidRPr="00D875BB" w14:paraId="2155BCF4" w14:textId="77777777" w:rsidTr="00F17932">
        <w:trPr>
          <w:trHeight w:val="434"/>
        </w:trPr>
        <w:tc>
          <w:tcPr>
            <w:tcW w:w="582" w:type="dxa"/>
          </w:tcPr>
          <w:p w14:paraId="54DC8F4D" w14:textId="3275185A" w:rsidR="00C03A18" w:rsidRPr="00D875BB" w:rsidRDefault="00C03A18" w:rsidP="00B676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33" w:type="dxa"/>
            <w:vAlign w:val="center"/>
          </w:tcPr>
          <w:p w14:paraId="2C727190" w14:textId="6190376F" w:rsidR="00C03A18" w:rsidRPr="00D875BB" w:rsidRDefault="00C03A18" w:rsidP="005659B2">
            <w:pPr>
              <w:rPr>
                <w:rFonts w:ascii="Times New Roman" w:hAnsi="Times New Roman" w:cs="Times New Roman"/>
              </w:rPr>
            </w:pPr>
            <w:r w:rsidRPr="00D875BB">
              <w:rPr>
                <w:rFonts w:ascii="Times New Roman" w:hAnsi="Times New Roman" w:cs="Times New Roman"/>
              </w:rPr>
              <w:t>Centralizuotų pirkimų vertė Eur (su PVM)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14:paraId="3D7B6D11" w14:textId="64112FB4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192826,72</w:t>
            </w:r>
          </w:p>
        </w:tc>
        <w:tc>
          <w:tcPr>
            <w:tcW w:w="1151" w:type="dxa"/>
            <w:vAlign w:val="center"/>
          </w:tcPr>
          <w:p w14:paraId="4313F127" w14:textId="7707E8B6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185363,61</w:t>
            </w:r>
          </w:p>
        </w:tc>
        <w:tc>
          <w:tcPr>
            <w:tcW w:w="1179" w:type="dxa"/>
            <w:vAlign w:val="center"/>
          </w:tcPr>
          <w:p w14:paraId="6F17460C" w14:textId="1AF2E8F0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193404,22</w:t>
            </w:r>
          </w:p>
        </w:tc>
        <w:tc>
          <w:tcPr>
            <w:tcW w:w="1334" w:type="dxa"/>
            <w:vAlign w:val="center"/>
          </w:tcPr>
          <w:p w14:paraId="392B0205" w14:textId="4F8EC80D" w:rsidR="00C03A18" w:rsidRDefault="00C03A18" w:rsidP="001E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387578,16</w:t>
            </w:r>
          </w:p>
        </w:tc>
        <w:tc>
          <w:tcPr>
            <w:tcW w:w="1471" w:type="dxa"/>
            <w:vAlign w:val="center"/>
          </w:tcPr>
          <w:p w14:paraId="660369B5" w14:textId="346E12A8" w:rsidR="00C03A18" w:rsidRDefault="00F17932" w:rsidP="00F17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260377,53</w:t>
            </w:r>
          </w:p>
        </w:tc>
        <w:tc>
          <w:tcPr>
            <w:tcW w:w="1221" w:type="dxa"/>
            <w:vAlign w:val="center"/>
          </w:tcPr>
          <w:p w14:paraId="6AE7353D" w14:textId="0F7EC93D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14:paraId="42F2612B" w14:textId="396FC253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14:paraId="678679C6" w14:textId="77777777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Align w:val="center"/>
          </w:tcPr>
          <w:p w14:paraId="2CFA81E3" w14:textId="77777777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A18" w:rsidRPr="00D875BB" w14:paraId="5F3F8018" w14:textId="77777777" w:rsidTr="007E264B">
        <w:tc>
          <w:tcPr>
            <w:tcW w:w="582" w:type="dxa"/>
          </w:tcPr>
          <w:p w14:paraId="4FDA23B0" w14:textId="514FFB48" w:rsidR="00C03A18" w:rsidRPr="00D9414C" w:rsidRDefault="00C03A18" w:rsidP="00B676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414C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333" w:type="dxa"/>
            <w:vAlign w:val="center"/>
          </w:tcPr>
          <w:p w14:paraId="7E97E409" w14:textId="4A2E09A8" w:rsidR="00C03A18" w:rsidRPr="00D9414C" w:rsidRDefault="00C03A18" w:rsidP="005659B2">
            <w:pPr>
              <w:rPr>
                <w:rFonts w:ascii="Times New Roman" w:hAnsi="Times New Roman" w:cs="Times New Roman"/>
                <w:b/>
                <w:bCs/>
              </w:rPr>
            </w:pPr>
            <w:r w:rsidRPr="00D9414C">
              <w:rPr>
                <w:rFonts w:ascii="Times New Roman" w:hAnsi="Times New Roman" w:cs="Times New Roman"/>
                <w:b/>
                <w:bCs/>
              </w:rPr>
              <w:t>Centralizuotų pirkimų skaičiaus/vertės dalis nuo visų pirkimų skaičiaus/vertės, procentais</w:t>
            </w:r>
          </w:p>
        </w:tc>
        <w:tc>
          <w:tcPr>
            <w:tcW w:w="10372" w:type="dxa"/>
            <w:gridSpan w:val="9"/>
          </w:tcPr>
          <w:p w14:paraId="09CB81CE" w14:textId="2BFB2676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A18" w:rsidRPr="00D875BB" w14:paraId="01D02DE7" w14:textId="77777777" w:rsidTr="007E264B">
        <w:tc>
          <w:tcPr>
            <w:tcW w:w="582" w:type="dxa"/>
          </w:tcPr>
          <w:p w14:paraId="39588CED" w14:textId="04501976" w:rsidR="00C03A18" w:rsidRPr="00D9414C" w:rsidRDefault="00C03A18" w:rsidP="00D9414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414C">
              <w:rPr>
                <w:rFonts w:ascii="Times New Roman" w:hAnsi="Times New Roman" w:cs="Times New Roman"/>
                <w:b/>
                <w:bCs/>
                <w:i/>
                <w:iCs/>
              </w:rPr>
              <w:t>4.1</w:t>
            </w:r>
          </w:p>
        </w:tc>
        <w:tc>
          <w:tcPr>
            <w:tcW w:w="3333" w:type="dxa"/>
            <w:vAlign w:val="center"/>
          </w:tcPr>
          <w:p w14:paraId="15232077" w14:textId="6A60EA4E" w:rsidR="00C03A18" w:rsidRPr="00D9414C" w:rsidRDefault="00C03A18" w:rsidP="005659B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414C">
              <w:rPr>
                <w:rFonts w:ascii="Times New Roman" w:hAnsi="Times New Roman" w:cs="Times New Roman"/>
                <w:b/>
                <w:bCs/>
                <w:i/>
                <w:iCs/>
              </w:rPr>
              <w:t>Pagal vertę</w:t>
            </w:r>
          </w:p>
        </w:tc>
        <w:tc>
          <w:tcPr>
            <w:tcW w:w="1151" w:type="dxa"/>
            <w:vAlign w:val="center"/>
          </w:tcPr>
          <w:p w14:paraId="7FA129D4" w14:textId="14516DF3" w:rsidR="00C03A18" w:rsidRPr="00CB090C" w:rsidRDefault="00C03A18" w:rsidP="005659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19,9</w:t>
            </w:r>
          </w:p>
        </w:tc>
        <w:tc>
          <w:tcPr>
            <w:tcW w:w="1151" w:type="dxa"/>
            <w:vAlign w:val="center"/>
          </w:tcPr>
          <w:p w14:paraId="64CE977C" w14:textId="3DB5CA73" w:rsidR="00C03A18" w:rsidRPr="00CB090C" w:rsidRDefault="00C03A18" w:rsidP="005659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21,3</w:t>
            </w:r>
          </w:p>
        </w:tc>
        <w:tc>
          <w:tcPr>
            <w:tcW w:w="1179" w:type="dxa"/>
            <w:vAlign w:val="center"/>
          </w:tcPr>
          <w:p w14:paraId="6496586C" w14:textId="2A668AD1" w:rsidR="00C03A18" w:rsidRPr="00CB090C" w:rsidRDefault="00C03A18" w:rsidP="005659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21,0</w:t>
            </w:r>
          </w:p>
        </w:tc>
        <w:tc>
          <w:tcPr>
            <w:tcW w:w="1334" w:type="dxa"/>
          </w:tcPr>
          <w:p w14:paraId="6C0229F4" w14:textId="7EEE8D72" w:rsidR="00C03A18" w:rsidRDefault="00C03A18" w:rsidP="005659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21,2</w:t>
            </w:r>
          </w:p>
        </w:tc>
        <w:tc>
          <w:tcPr>
            <w:tcW w:w="1471" w:type="dxa"/>
          </w:tcPr>
          <w:p w14:paraId="139079DD" w14:textId="4361E97C" w:rsidR="00C03A18" w:rsidRDefault="007C777E" w:rsidP="005659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28,3</w:t>
            </w:r>
          </w:p>
        </w:tc>
        <w:tc>
          <w:tcPr>
            <w:tcW w:w="1221" w:type="dxa"/>
            <w:vAlign w:val="center"/>
          </w:tcPr>
          <w:p w14:paraId="76CB020B" w14:textId="6ED1E9A6" w:rsidR="00C03A18" w:rsidRPr="00CB090C" w:rsidRDefault="00C03A18" w:rsidP="005659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51" w:type="dxa"/>
            <w:vAlign w:val="center"/>
          </w:tcPr>
          <w:p w14:paraId="651A65E4" w14:textId="0DFAEFE5" w:rsidR="00C03A18" w:rsidRPr="00D44F00" w:rsidRDefault="00C03A18" w:rsidP="005659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71" w:type="dxa"/>
            <w:vAlign w:val="center"/>
          </w:tcPr>
          <w:p w14:paraId="40C3CC72" w14:textId="77777777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Align w:val="center"/>
          </w:tcPr>
          <w:p w14:paraId="32870B7B" w14:textId="77777777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A18" w:rsidRPr="00D875BB" w14:paraId="676F488F" w14:textId="77777777" w:rsidTr="007E264B">
        <w:tc>
          <w:tcPr>
            <w:tcW w:w="582" w:type="dxa"/>
          </w:tcPr>
          <w:p w14:paraId="35B84A17" w14:textId="636FA8B6" w:rsidR="00C03A18" w:rsidRPr="00D9414C" w:rsidRDefault="00C03A18" w:rsidP="00D9414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414C">
              <w:rPr>
                <w:rFonts w:ascii="Times New Roman" w:hAnsi="Times New Roman" w:cs="Times New Roman"/>
                <w:b/>
                <w:bCs/>
                <w:i/>
                <w:iCs/>
              </w:rPr>
              <w:t>4.2</w:t>
            </w:r>
          </w:p>
        </w:tc>
        <w:tc>
          <w:tcPr>
            <w:tcW w:w="3333" w:type="dxa"/>
            <w:vAlign w:val="center"/>
          </w:tcPr>
          <w:p w14:paraId="79FF2D4B" w14:textId="78884161" w:rsidR="00C03A18" w:rsidRPr="00D9414C" w:rsidRDefault="00C03A18" w:rsidP="005659B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414C">
              <w:rPr>
                <w:rFonts w:ascii="Times New Roman" w:hAnsi="Times New Roman" w:cs="Times New Roman"/>
                <w:b/>
                <w:bCs/>
                <w:i/>
                <w:iCs/>
              </w:rPr>
              <w:t>Pagal skaičių</w:t>
            </w:r>
          </w:p>
        </w:tc>
        <w:tc>
          <w:tcPr>
            <w:tcW w:w="1151" w:type="dxa"/>
            <w:vAlign w:val="center"/>
          </w:tcPr>
          <w:p w14:paraId="4D798763" w14:textId="50EE8BE0" w:rsidR="00C03A18" w:rsidRPr="00CB090C" w:rsidRDefault="00C03A18" w:rsidP="005659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58,1</w:t>
            </w:r>
          </w:p>
        </w:tc>
        <w:tc>
          <w:tcPr>
            <w:tcW w:w="1151" w:type="dxa"/>
            <w:vAlign w:val="center"/>
          </w:tcPr>
          <w:p w14:paraId="4A4BC598" w14:textId="2E699AB9" w:rsidR="00C03A18" w:rsidRPr="00CB090C" w:rsidRDefault="00C03A18" w:rsidP="005659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76,8</w:t>
            </w:r>
          </w:p>
        </w:tc>
        <w:tc>
          <w:tcPr>
            <w:tcW w:w="1179" w:type="dxa"/>
            <w:vAlign w:val="center"/>
          </w:tcPr>
          <w:p w14:paraId="57E82FE2" w14:textId="4A31F50D" w:rsidR="00C03A18" w:rsidRPr="00CB090C" w:rsidRDefault="00C03A18" w:rsidP="005659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71,1</w:t>
            </w:r>
          </w:p>
        </w:tc>
        <w:tc>
          <w:tcPr>
            <w:tcW w:w="1334" w:type="dxa"/>
          </w:tcPr>
          <w:p w14:paraId="50FC39E1" w14:textId="3210FB6C" w:rsidR="00C03A18" w:rsidRDefault="00C03A18" w:rsidP="005659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77,8</w:t>
            </w:r>
          </w:p>
        </w:tc>
        <w:tc>
          <w:tcPr>
            <w:tcW w:w="1471" w:type="dxa"/>
          </w:tcPr>
          <w:p w14:paraId="149058E7" w14:textId="0396DBCA" w:rsidR="00C03A18" w:rsidRDefault="007C777E" w:rsidP="005659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69,6</w:t>
            </w:r>
          </w:p>
        </w:tc>
        <w:tc>
          <w:tcPr>
            <w:tcW w:w="1221" w:type="dxa"/>
            <w:vAlign w:val="center"/>
          </w:tcPr>
          <w:p w14:paraId="0181DEE0" w14:textId="6668670B" w:rsidR="00C03A18" w:rsidRPr="00CB090C" w:rsidRDefault="00C03A18" w:rsidP="005659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51" w:type="dxa"/>
            <w:vAlign w:val="center"/>
          </w:tcPr>
          <w:p w14:paraId="6E4FEED2" w14:textId="05FD6DC2" w:rsidR="00C03A18" w:rsidRPr="00E0724F" w:rsidRDefault="00C03A18" w:rsidP="005659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71" w:type="dxa"/>
            <w:vAlign w:val="center"/>
          </w:tcPr>
          <w:p w14:paraId="0B89D805" w14:textId="77777777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Align w:val="center"/>
          </w:tcPr>
          <w:p w14:paraId="4230DBDB" w14:textId="77777777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A18" w:rsidRPr="00D875BB" w14:paraId="06395B2E" w14:textId="77777777" w:rsidTr="00D9121D">
        <w:tc>
          <w:tcPr>
            <w:tcW w:w="582" w:type="dxa"/>
            <w:tcBorders>
              <w:bottom w:val="single" w:sz="4" w:space="0" w:color="auto"/>
            </w:tcBorders>
          </w:tcPr>
          <w:p w14:paraId="6529C6E8" w14:textId="48BE0068" w:rsidR="00C03A18" w:rsidRPr="00D875BB" w:rsidRDefault="00C03A18" w:rsidP="00B676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vAlign w:val="center"/>
          </w:tcPr>
          <w:p w14:paraId="0EC09EEE" w14:textId="3A5C5F9D" w:rsidR="00C03A18" w:rsidRPr="00D875BB" w:rsidRDefault="00C03A18" w:rsidP="005659B2">
            <w:pPr>
              <w:rPr>
                <w:rFonts w:ascii="Times New Roman" w:hAnsi="Times New Roman" w:cs="Times New Roman"/>
              </w:rPr>
            </w:pPr>
            <w:r w:rsidRPr="00D875BB">
              <w:rPr>
                <w:rFonts w:ascii="Times New Roman" w:hAnsi="Times New Roman" w:cs="Times New Roman"/>
              </w:rPr>
              <w:t>Atliktų rinkos konsultacijų skaičius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14:paraId="0E9DD27A" w14:textId="111B3F10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14:paraId="57A046C5" w14:textId="5D4F0CFF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3AC7D31A" w14:textId="3CB277B7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36B198F3" w14:textId="5A74C838" w:rsidR="00C03A18" w:rsidRDefault="00C03A18" w:rsidP="001E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14:paraId="616884CC" w14:textId="37B55034" w:rsidR="00C03A18" w:rsidRDefault="00D9121D" w:rsidP="00D91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14:paraId="1EFA56A0" w14:textId="6DA1EAA4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14:paraId="04DA0B39" w14:textId="4E45FA58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14:paraId="3BED4E0B" w14:textId="77777777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19D7C8A7" w14:textId="77777777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A18" w:rsidRPr="00D875BB" w14:paraId="63752480" w14:textId="77777777" w:rsidTr="00C22856">
        <w:tc>
          <w:tcPr>
            <w:tcW w:w="582" w:type="dxa"/>
            <w:tcBorders>
              <w:bottom w:val="single" w:sz="4" w:space="0" w:color="auto"/>
            </w:tcBorders>
          </w:tcPr>
          <w:p w14:paraId="58BB1598" w14:textId="1007199A" w:rsidR="00C03A18" w:rsidRPr="00D9414C" w:rsidRDefault="00C03A18" w:rsidP="00B676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414C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vAlign w:val="center"/>
          </w:tcPr>
          <w:p w14:paraId="13AE2E81" w14:textId="77777777" w:rsidR="00C03A18" w:rsidRPr="00D9414C" w:rsidRDefault="00C03A18" w:rsidP="005659B2">
            <w:pPr>
              <w:rPr>
                <w:rFonts w:ascii="Times New Roman" w:hAnsi="Times New Roman" w:cs="Times New Roman"/>
                <w:b/>
                <w:bCs/>
              </w:rPr>
            </w:pPr>
            <w:r w:rsidRPr="00D9414C">
              <w:rPr>
                <w:rFonts w:ascii="Times New Roman" w:hAnsi="Times New Roman" w:cs="Times New Roman"/>
                <w:b/>
                <w:bCs/>
              </w:rPr>
              <w:t>Atliktų rinkos konsultacijų skaičiaus dalis nuo</w:t>
            </w:r>
          </w:p>
          <w:p w14:paraId="1C38541E" w14:textId="1C3ACCBA" w:rsidR="00C03A18" w:rsidRPr="00D9414C" w:rsidRDefault="00C03A18" w:rsidP="005659B2">
            <w:pPr>
              <w:rPr>
                <w:rFonts w:ascii="Times New Roman" w:hAnsi="Times New Roman" w:cs="Times New Roman"/>
                <w:b/>
                <w:bCs/>
              </w:rPr>
            </w:pPr>
            <w:r w:rsidRPr="00D9414C">
              <w:rPr>
                <w:rFonts w:ascii="Times New Roman" w:hAnsi="Times New Roman" w:cs="Times New Roman"/>
                <w:b/>
                <w:bCs/>
              </w:rPr>
              <w:t>bendro įvykusių pirkimų skaičiaus, procentais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14:paraId="37FFCBF4" w14:textId="2649D644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14:paraId="6B402D4C" w14:textId="79ADA865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1816BEC3" w14:textId="162225A7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40223A51" w14:textId="4D31EEA6" w:rsidR="00C03A18" w:rsidRDefault="00C03A18" w:rsidP="001E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14:paraId="11956E48" w14:textId="577F64D6" w:rsidR="00C03A18" w:rsidRDefault="007C777E" w:rsidP="00C2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14:paraId="3BA105F3" w14:textId="3E18DBC1" w:rsidR="00C03A18" w:rsidRPr="00A86C19" w:rsidRDefault="00C03A18" w:rsidP="005659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14:paraId="2B6DFD37" w14:textId="77B38C43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14:paraId="3597FAD4" w14:textId="77777777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227E544F" w14:textId="77777777" w:rsidR="00C03A18" w:rsidRPr="00D875BB" w:rsidRDefault="00C03A18" w:rsidP="00565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E67C4F6" w14:textId="2A7BB7D0" w:rsidR="00EB124E" w:rsidRDefault="00EB124E" w:rsidP="00B6767E">
      <w:pPr>
        <w:jc w:val="both"/>
        <w:rPr>
          <w:rFonts w:ascii="Times New Roman" w:hAnsi="Times New Roman" w:cs="Times New Roman"/>
          <w:i/>
          <w:iCs/>
        </w:rPr>
      </w:pPr>
    </w:p>
    <w:p w14:paraId="6599B88B" w14:textId="1D88A92C" w:rsidR="00B26C80" w:rsidRDefault="00B919CF" w:rsidP="00C713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B26C80">
        <w:rPr>
          <w:rFonts w:ascii="Times New Roman" w:hAnsi="Times New Roman" w:cs="Times New Roman"/>
          <w:sz w:val="20"/>
          <w:szCs w:val="20"/>
        </w:rPr>
        <w:t>BVP (bendra viešiesiems pirkimams išleidžiama suma)</w:t>
      </w:r>
      <w:r w:rsidR="00813ABC">
        <w:rPr>
          <w:rFonts w:ascii="Times New Roman" w:hAnsi="Times New Roman" w:cs="Times New Roman"/>
          <w:sz w:val="20"/>
          <w:szCs w:val="20"/>
        </w:rPr>
        <w:t xml:space="preserve"> – sudarytų sutarčių vertė, neskelbiamų apklausų vykdant apklausą žodžiu vertė, pirkimų vykdytų per CPO.LT vertė.</w:t>
      </w:r>
    </w:p>
    <w:p w14:paraId="4341EFE3" w14:textId="38D6BE42" w:rsidR="00C71346" w:rsidRDefault="00B919CF" w:rsidP="00C713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5659B2">
        <w:rPr>
          <w:rFonts w:ascii="Times New Roman" w:hAnsi="Times New Roman" w:cs="Times New Roman"/>
          <w:sz w:val="20"/>
          <w:szCs w:val="20"/>
        </w:rPr>
        <w:t>BVPS (</w:t>
      </w:r>
      <w:r w:rsidR="00C71346" w:rsidRPr="00B6767E">
        <w:rPr>
          <w:rFonts w:ascii="Times New Roman" w:hAnsi="Times New Roman" w:cs="Times New Roman"/>
          <w:sz w:val="20"/>
          <w:szCs w:val="20"/>
        </w:rPr>
        <w:t>bendras viešųjų pirkimų skaičius</w:t>
      </w:r>
      <w:r w:rsidR="005659B2">
        <w:rPr>
          <w:rFonts w:ascii="Times New Roman" w:hAnsi="Times New Roman" w:cs="Times New Roman"/>
          <w:sz w:val="20"/>
          <w:szCs w:val="20"/>
        </w:rPr>
        <w:t>)</w:t>
      </w:r>
      <w:r w:rsidR="00C71346" w:rsidRPr="00B6767E">
        <w:rPr>
          <w:rFonts w:ascii="Times New Roman" w:hAnsi="Times New Roman" w:cs="Times New Roman"/>
          <w:sz w:val="20"/>
          <w:szCs w:val="20"/>
        </w:rPr>
        <w:t xml:space="preserve"> – tarptautiniai ir supaprastinti pirkimai, centralizuoti pirkimai per CPO.LT, skelbiamos ir neskelbiamos derybos, mažos vertės pirkimai </w:t>
      </w:r>
      <w:r w:rsidR="005659B2">
        <w:rPr>
          <w:rFonts w:ascii="Times New Roman" w:hAnsi="Times New Roman" w:cs="Times New Roman"/>
          <w:sz w:val="20"/>
          <w:szCs w:val="20"/>
        </w:rPr>
        <w:t xml:space="preserve">skelbiamos apklausos, </w:t>
      </w:r>
      <w:r w:rsidR="00C71346" w:rsidRPr="00B6767E">
        <w:rPr>
          <w:rFonts w:ascii="Times New Roman" w:hAnsi="Times New Roman" w:cs="Times New Roman"/>
          <w:sz w:val="20"/>
          <w:szCs w:val="20"/>
        </w:rPr>
        <w:t>neskelbiamos apklausos būdu vykdant apklausą raštu ir žodžiu, kurių vertė didesnė kaip 10 tūkst. Eur be PVM.</w:t>
      </w:r>
    </w:p>
    <w:p w14:paraId="77AC53C2" w14:textId="214DC158" w:rsidR="00C71346" w:rsidRDefault="00B919CF" w:rsidP="006121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5659B2">
        <w:rPr>
          <w:rFonts w:ascii="Times New Roman" w:hAnsi="Times New Roman" w:cs="Times New Roman"/>
          <w:sz w:val="20"/>
          <w:szCs w:val="20"/>
        </w:rPr>
        <w:t>CVPS (</w:t>
      </w:r>
      <w:r w:rsidR="00C71346">
        <w:rPr>
          <w:rFonts w:ascii="Times New Roman" w:hAnsi="Times New Roman" w:cs="Times New Roman"/>
          <w:sz w:val="20"/>
          <w:szCs w:val="20"/>
        </w:rPr>
        <w:t>centralizuotų viešųjų pirkimų skaičius</w:t>
      </w:r>
      <w:r w:rsidR="005659B2">
        <w:rPr>
          <w:rFonts w:ascii="Times New Roman" w:hAnsi="Times New Roman" w:cs="Times New Roman"/>
          <w:sz w:val="20"/>
          <w:szCs w:val="20"/>
        </w:rPr>
        <w:t>)</w:t>
      </w:r>
      <w:r w:rsidR="006121E8">
        <w:rPr>
          <w:rFonts w:ascii="Times New Roman" w:hAnsi="Times New Roman" w:cs="Times New Roman"/>
          <w:sz w:val="20"/>
          <w:szCs w:val="20"/>
        </w:rPr>
        <w:t xml:space="preserve"> </w:t>
      </w:r>
      <w:r w:rsidR="00C71346">
        <w:rPr>
          <w:rFonts w:ascii="Times New Roman" w:hAnsi="Times New Roman" w:cs="Times New Roman"/>
          <w:sz w:val="20"/>
          <w:szCs w:val="20"/>
        </w:rPr>
        <w:t xml:space="preserve">– duomenys iš CPO.LT puslapio </w:t>
      </w:r>
      <w:hyperlink r:id="rId6" w:history="1">
        <w:r w:rsidR="006121E8" w:rsidRPr="00AB14C7">
          <w:rPr>
            <w:rStyle w:val="Hipersaitas"/>
            <w:rFonts w:ascii="Times New Roman" w:hAnsi="Times New Roman" w:cs="Times New Roman"/>
            <w:sz w:val="20"/>
            <w:szCs w:val="20"/>
          </w:rPr>
          <w:t>https://2007.cpo.lt/index.php?option=com_reports&amp;task=report&amp;rid=vpt_2012&amp;btn_annualReportShow=1</w:t>
        </w:r>
      </w:hyperlink>
      <w:r w:rsidR="006121E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A76C2B" w14:textId="52145707" w:rsidR="00D875BB" w:rsidRPr="005659B2" w:rsidRDefault="00DE0AB0" w:rsidP="00B6767E">
      <w:pPr>
        <w:jc w:val="both"/>
        <w:rPr>
          <w:rFonts w:ascii="Times New Roman" w:hAnsi="Times New Roman" w:cs="Times New Roman"/>
          <w:sz w:val="20"/>
          <w:szCs w:val="20"/>
        </w:rPr>
      </w:pPr>
      <w:r w:rsidRPr="00F26754">
        <w:rPr>
          <w:rFonts w:ascii="Times New Roman" w:hAnsi="Times New Roman" w:cs="Times New Roman"/>
          <w:sz w:val="20"/>
          <w:szCs w:val="20"/>
        </w:rPr>
        <w:t xml:space="preserve">„Vieno tiekėjo“ pirkimų stebėsenos ataskaita - </w:t>
      </w:r>
      <w:hyperlink r:id="rId7" w:history="1">
        <w:r w:rsidRPr="00F26754">
          <w:rPr>
            <w:rStyle w:val="Hipersaitas"/>
            <w:rFonts w:ascii="Times New Roman" w:hAnsi="Times New Roman" w:cs="Times New Roman"/>
            <w:sz w:val="20"/>
            <w:szCs w:val="20"/>
          </w:rPr>
          <w:t>https://vpt.lrv.lt/lt/statistika-ir-analize/temines-viesuju-pirkimu-analizes/</w:t>
        </w:r>
      </w:hyperlink>
      <w:r w:rsidRPr="00F2675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875BB" w:rsidRPr="005659B2" w:rsidSect="0027644A">
      <w:pgSz w:w="16838" w:h="11906" w:orient="landscape"/>
      <w:pgMar w:top="709" w:right="536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C4C64"/>
    <w:multiLevelType w:val="hybridMultilevel"/>
    <w:tmpl w:val="1EAE567C"/>
    <w:lvl w:ilvl="0" w:tplc="21D2CE7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BA"/>
    <w:rsid w:val="0005789C"/>
    <w:rsid w:val="000A1ABA"/>
    <w:rsid w:val="001434B9"/>
    <w:rsid w:val="001A01CC"/>
    <w:rsid w:val="001A21A4"/>
    <w:rsid w:val="001B1616"/>
    <w:rsid w:val="001D2D00"/>
    <w:rsid w:val="001E7A03"/>
    <w:rsid w:val="0027644A"/>
    <w:rsid w:val="002E35C3"/>
    <w:rsid w:val="002F08B1"/>
    <w:rsid w:val="00353F44"/>
    <w:rsid w:val="00395BBD"/>
    <w:rsid w:val="003A0B29"/>
    <w:rsid w:val="003A19AC"/>
    <w:rsid w:val="003E4AD6"/>
    <w:rsid w:val="0042300B"/>
    <w:rsid w:val="0044703C"/>
    <w:rsid w:val="004735B9"/>
    <w:rsid w:val="004C1B85"/>
    <w:rsid w:val="005659B2"/>
    <w:rsid w:val="00597849"/>
    <w:rsid w:val="006121E8"/>
    <w:rsid w:val="00637685"/>
    <w:rsid w:val="00660C56"/>
    <w:rsid w:val="00676C0C"/>
    <w:rsid w:val="00687944"/>
    <w:rsid w:val="006B7929"/>
    <w:rsid w:val="007121C4"/>
    <w:rsid w:val="00724813"/>
    <w:rsid w:val="00737B26"/>
    <w:rsid w:val="007B1B28"/>
    <w:rsid w:val="007C777E"/>
    <w:rsid w:val="007D4D4B"/>
    <w:rsid w:val="007E264B"/>
    <w:rsid w:val="007E3523"/>
    <w:rsid w:val="007E6FD7"/>
    <w:rsid w:val="00813ABC"/>
    <w:rsid w:val="00841323"/>
    <w:rsid w:val="008777D9"/>
    <w:rsid w:val="008B4DF8"/>
    <w:rsid w:val="00904635"/>
    <w:rsid w:val="0097244A"/>
    <w:rsid w:val="009A35A1"/>
    <w:rsid w:val="00A35858"/>
    <w:rsid w:val="00A723B0"/>
    <w:rsid w:val="00A86C19"/>
    <w:rsid w:val="00AA293B"/>
    <w:rsid w:val="00AF065D"/>
    <w:rsid w:val="00AF6763"/>
    <w:rsid w:val="00B10E94"/>
    <w:rsid w:val="00B26C80"/>
    <w:rsid w:val="00B6767E"/>
    <w:rsid w:val="00B919CF"/>
    <w:rsid w:val="00BB6190"/>
    <w:rsid w:val="00BC5B3F"/>
    <w:rsid w:val="00BC6A7B"/>
    <w:rsid w:val="00BE1E07"/>
    <w:rsid w:val="00C03A18"/>
    <w:rsid w:val="00C22856"/>
    <w:rsid w:val="00C24B78"/>
    <w:rsid w:val="00C602D0"/>
    <w:rsid w:val="00C71346"/>
    <w:rsid w:val="00CB090C"/>
    <w:rsid w:val="00CB756A"/>
    <w:rsid w:val="00CD78B0"/>
    <w:rsid w:val="00CE2DB0"/>
    <w:rsid w:val="00D0232C"/>
    <w:rsid w:val="00D22A3E"/>
    <w:rsid w:val="00D44F00"/>
    <w:rsid w:val="00D571D1"/>
    <w:rsid w:val="00D71509"/>
    <w:rsid w:val="00D875BB"/>
    <w:rsid w:val="00D9121D"/>
    <w:rsid w:val="00D9414C"/>
    <w:rsid w:val="00D94BF3"/>
    <w:rsid w:val="00DB4733"/>
    <w:rsid w:val="00DD3C9C"/>
    <w:rsid w:val="00DE0AB0"/>
    <w:rsid w:val="00DE3198"/>
    <w:rsid w:val="00DE5BD6"/>
    <w:rsid w:val="00DF0161"/>
    <w:rsid w:val="00E0724F"/>
    <w:rsid w:val="00E24272"/>
    <w:rsid w:val="00EA5022"/>
    <w:rsid w:val="00EB124E"/>
    <w:rsid w:val="00EC1741"/>
    <w:rsid w:val="00ED138B"/>
    <w:rsid w:val="00F17932"/>
    <w:rsid w:val="00F26754"/>
    <w:rsid w:val="00F3090D"/>
    <w:rsid w:val="00F745B5"/>
    <w:rsid w:val="00F97EA9"/>
    <w:rsid w:val="00FD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AA57"/>
  <w15:chartTrackingRefBased/>
  <w15:docId w15:val="{48087FEF-71A1-4D64-A917-CD9A09C6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A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05789C"/>
    <w:pPr>
      <w:spacing w:after="0" w:line="240" w:lineRule="auto"/>
      <w:ind w:left="720" w:firstLine="851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Hipersaitas">
    <w:name w:val="Hyperlink"/>
    <w:basedOn w:val="Numatytasispastraiposriftas"/>
    <w:uiPriority w:val="99"/>
    <w:unhideWhenUsed/>
    <w:rsid w:val="006121E8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121E8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E0AB0"/>
    <w:rPr>
      <w:color w:val="954F72" w:themeColor="followed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659B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59B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59B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659B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659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pt.lrv.lt/lt/statistika-ir-analize/temines-viesuju-pirkimu-analiz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2007.cpo.lt/index.php?option=com_reports&amp;task=report&amp;rid=vpt_2012&amp;btn_annualReportShow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4BE51-FD23-43A4-8E3A-73D68226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Balčiūnienė</dc:creator>
  <cp:keywords/>
  <dc:description/>
  <cp:lastModifiedBy>Inga Balčiūnienė</cp:lastModifiedBy>
  <cp:revision>21</cp:revision>
  <dcterms:created xsi:type="dcterms:W3CDTF">2022-08-29T08:51:00Z</dcterms:created>
  <dcterms:modified xsi:type="dcterms:W3CDTF">2023-03-21T14:46:00Z</dcterms:modified>
</cp:coreProperties>
</file>